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53296dc548be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13367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O.Š. MEJE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663.418,32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805.441,90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650.753,18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856.078,51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50.636,61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2.370,01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2.370,01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133,89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50.770,50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poslovanja u izvještajnom razdoblju iznose 805.441,90 EUR a rashodi poslovanja izvještajnog razdoblja 856.078,51 EUR. 
Manjak prihoda poslovanja nastao je zbog knjiženja obračuna plaće za lipanj koja će biti isplaćena u srpnju 2025. 
Manjak primitaka i prihoda u iznosu 50.770,50 EUR pokrit će se u idućem razdoblju.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 na kraju izvještajnog razdoblja.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9fdb7235540f7" /></Relationships>
</file>